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E9582" w14:textId="77777777" w:rsidR="00A110EE" w:rsidRDefault="00A110EE" w:rsidP="00A110EE">
      <w:pPr>
        <w:autoSpaceDE w:val="0"/>
        <w:autoSpaceDN w:val="0"/>
        <w:adjustRightInd w:val="0"/>
        <w:spacing w:after="0" w:line="360" w:lineRule="auto"/>
        <w:rPr>
          <w:rFonts w:ascii="SegoeUI" w:hAnsi="SegoeUI" w:cs="SegoeUI"/>
          <w:sz w:val="20"/>
          <w:szCs w:val="20"/>
        </w:rPr>
      </w:pPr>
      <w:proofErr w:type="spellStart"/>
      <w:r>
        <w:rPr>
          <w:rFonts w:ascii="SegoeUI" w:hAnsi="SegoeUI" w:cs="SegoeUI"/>
          <w:sz w:val="20"/>
          <w:szCs w:val="20"/>
        </w:rPr>
        <w:t>Tomasello</w:t>
      </w:r>
      <w:proofErr w:type="spellEnd"/>
      <w:r>
        <w:rPr>
          <w:rFonts w:ascii="SegoeUI" w:hAnsi="SegoeUI" w:cs="SegoeUI"/>
          <w:sz w:val="20"/>
          <w:szCs w:val="20"/>
        </w:rPr>
        <w:t xml:space="preserve"> Drive, east of Route 1A (William F McClellan Highway) carries</w:t>
      </w:r>
    </w:p>
    <w:p w14:paraId="692A9D1A"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approximately 3,200 vehicles on a typical weekday with the weekday morning and</w:t>
      </w:r>
    </w:p>
    <w:p w14:paraId="22D9D879"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evening peak hours accounting for approximately seven and nine percent of the</w:t>
      </w:r>
    </w:p>
    <w:p w14:paraId="1A524E42"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weekday daily traffic flow, respectively. </w:t>
      </w:r>
      <w:proofErr w:type="spellStart"/>
      <w:r>
        <w:rPr>
          <w:rFonts w:ascii="SegoeUI" w:hAnsi="SegoeUI" w:cs="SegoeUI"/>
          <w:sz w:val="20"/>
          <w:szCs w:val="20"/>
        </w:rPr>
        <w:t>Tomasello</w:t>
      </w:r>
      <w:proofErr w:type="spellEnd"/>
      <w:r>
        <w:rPr>
          <w:rFonts w:ascii="SegoeUI" w:hAnsi="SegoeUI" w:cs="SegoeUI"/>
          <w:sz w:val="20"/>
          <w:szCs w:val="20"/>
        </w:rPr>
        <w:t xml:space="preserve"> Drive, south of Winthrop Avenue</w:t>
      </w:r>
    </w:p>
    <w:p w14:paraId="62910B92"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(Route 145), carries approximately 11,600 vehicles on a typical weekday with the</w:t>
      </w:r>
    </w:p>
    <w:p w14:paraId="7175D8D2"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weekday morning peak accounting for approximately 3.5 percent and weekday</w:t>
      </w:r>
    </w:p>
    <w:p w14:paraId="510BE8FF"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evening peak hour accounting for approximately 9 percent of the weekday daily</w:t>
      </w:r>
    </w:p>
    <w:p w14:paraId="50F67074"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traffic flow. The difference in daily traffic between the two </w:t>
      </w:r>
      <w:proofErr w:type="spellStart"/>
      <w:r>
        <w:rPr>
          <w:rFonts w:ascii="SegoeUI" w:hAnsi="SegoeUI" w:cs="SegoeUI"/>
          <w:sz w:val="20"/>
          <w:szCs w:val="20"/>
        </w:rPr>
        <w:t>Tomasello</w:t>
      </w:r>
      <w:proofErr w:type="spellEnd"/>
      <w:r>
        <w:rPr>
          <w:rFonts w:ascii="SegoeUI" w:hAnsi="SegoeUI" w:cs="SegoeUI"/>
          <w:sz w:val="20"/>
          <w:szCs w:val="20"/>
        </w:rPr>
        <w:t xml:space="preserve"> Drive locations</w:t>
      </w:r>
    </w:p>
    <w:p w14:paraId="1944E89C"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can be attributed to the commercial development along Furlong Drive connecting to</w:t>
      </w:r>
    </w:p>
    <w:p w14:paraId="039C73AE" w14:textId="77777777" w:rsidR="00A110EE" w:rsidRDefault="00A110EE" w:rsidP="00A110EE">
      <w:pPr>
        <w:autoSpaceDE w:val="0"/>
        <w:autoSpaceDN w:val="0"/>
        <w:adjustRightInd w:val="0"/>
        <w:spacing w:after="0" w:line="360" w:lineRule="auto"/>
        <w:rPr>
          <w:rFonts w:ascii="SegoeUI" w:hAnsi="SegoeUI" w:cs="SegoeUI"/>
          <w:sz w:val="20"/>
          <w:szCs w:val="20"/>
        </w:rPr>
      </w:pPr>
      <w:proofErr w:type="spellStart"/>
      <w:r>
        <w:rPr>
          <w:rFonts w:ascii="SegoeUI" w:hAnsi="SegoeUI" w:cs="SegoeUI"/>
          <w:sz w:val="20"/>
          <w:szCs w:val="20"/>
        </w:rPr>
        <w:t>Tomasello</w:t>
      </w:r>
      <w:proofErr w:type="spellEnd"/>
      <w:r>
        <w:rPr>
          <w:rFonts w:ascii="SegoeUI" w:hAnsi="SegoeUI" w:cs="SegoeUI"/>
          <w:sz w:val="20"/>
          <w:szCs w:val="20"/>
        </w:rPr>
        <w:t xml:space="preserve"> Drive, approximately 800 feet south of Winthrop Avenue (Route 145).</w:t>
      </w:r>
    </w:p>
    <w:p w14:paraId="240E86DF"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Traffic flow directionality along </w:t>
      </w:r>
      <w:proofErr w:type="spellStart"/>
      <w:r>
        <w:rPr>
          <w:rFonts w:ascii="SegoeUI" w:hAnsi="SegoeUI" w:cs="SegoeUI"/>
          <w:sz w:val="20"/>
          <w:szCs w:val="20"/>
        </w:rPr>
        <w:t>Tomasello</w:t>
      </w:r>
      <w:proofErr w:type="spellEnd"/>
      <w:r>
        <w:rPr>
          <w:rFonts w:ascii="SegoeUI" w:hAnsi="SegoeUI" w:cs="SegoeUI"/>
          <w:sz w:val="20"/>
          <w:szCs w:val="20"/>
        </w:rPr>
        <w:t xml:space="preserve"> Drive is dependent on the time of day. For</w:t>
      </w:r>
    </w:p>
    <w:p w14:paraId="5C58D660"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the weekday morning peak hour, traffic flows primarily in the southbound direction,</w:t>
      </w:r>
    </w:p>
    <w:p w14:paraId="57251803"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while for the weekday evening peak hour traffic flow is mainly in the northbound</w:t>
      </w:r>
    </w:p>
    <w:p w14:paraId="38C8545A" w14:textId="169BAAD6"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direction. Winthrop Avenue (Route 145), east of </w:t>
      </w:r>
      <w:proofErr w:type="spellStart"/>
      <w:r>
        <w:rPr>
          <w:rFonts w:ascii="SegoeUI" w:hAnsi="SegoeUI" w:cs="SegoeUI"/>
          <w:sz w:val="20"/>
          <w:szCs w:val="20"/>
        </w:rPr>
        <w:t>Tomasello</w:t>
      </w:r>
      <w:proofErr w:type="spellEnd"/>
      <w:r>
        <w:rPr>
          <w:rFonts w:ascii="SegoeUI" w:hAnsi="SegoeUI" w:cs="SegoeUI"/>
          <w:sz w:val="20"/>
          <w:szCs w:val="20"/>
        </w:rPr>
        <w:t xml:space="preserve"> Drive, carries approximately 32,000 vehicles on a typical weekday with the weekday morning peak accounting for approximately seven percent and weekday evening peak hour accounting for approximately eight percent of the weekday daily traffic flow. Traffic flow along Winthrop Avenue (Route 145) is generally evenly distributed in each direction during the weekday morning peak hours and is greater in the eastbound direction during the weekday evening peak hour, though the peak direction is based on time of day.</w:t>
      </w:r>
    </w:p>
    <w:p w14:paraId="472B4B40" w14:textId="77777777" w:rsidR="00EB40A1" w:rsidRDefault="00EB40A1" w:rsidP="00A110EE">
      <w:pPr>
        <w:autoSpaceDE w:val="0"/>
        <w:autoSpaceDN w:val="0"/>
        <w:adjustRightInd w:val="0"/>
        <w:spacing w:after="0" w:line="360" w:lineRule="auto"/>
        <w:rPr>
          <w:rFonts w:ascii="SegoeUI" w:hAnsi="SegoeUI" w:cs="SegoeUI"/>
          <w:sz w:val="20"/>
          <w:szCs w:val="20"/>
        </w:rPr>
      </w:pPr>
    </w:p>
    <w:p w14:paraId="7018E28D" w14:textId="72467198" w:rsidR="00A110EE" w:rsidRDefault="00EB40A1"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       </w:t>
      </w:r>
      <w:r w:rsidR="00A110EE">
        <w:rPr>
          <w:rFonts w:ascii="SegoeUI" w:hAnsi="SegoeUI" w:cs="SegoeUI"/>
          <w:sz w:val="20"/>
          <w:szCs w:val="20"/>
        </w:rPr>
        <w:t>To identify motor vehicle crash trends in the study area, the most current crash data</w:t>
      </w:r>
    </w:p>
    <w:p w14:paraId="05B82540"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for the study area intersections were obtained from </w:t>
      </w:r>
      <w:proofErr w:type="spellStart"/>
      <w:r>
        <w:rPr>
          <w:rFonts w:ascii="SegoeUI" w:hAnsi="SegoeUI" w:cs="SegoeUI"/>
          <w:sz w:val="20"/>
          <w:szCs w:val="20"/>
        </w:rPr>
        <w:t>MassDOT</w:t>
      </w:r>
      <w:proofErr w:type="spellEnd"/>
      <w:r>
        <w:rPr>
          <w:rFonts w:ascii="SegoeUI" w:hAnsi="SegoeUI" w:cs="SegoeUI"/>
          <w:sz w:val="20"/>
          <w:szCs w:val="20"/>
        </w:rPr>
        <w:t xml:space="preserve"> for the five-year</w:t>
      </w:r>
    </w:p>
    <w:p w14:paraId="0479BCA1"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period from 2011 through 2015. A summary of the vehicular crash data is presented</w:t>
      </w:r>
    </w:p>
    <w:p w14:paraId="2118F8AB" w14:textId="3A25DF4F"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in Table 6-2 and included in Appendix D.</w:t>
      </w:r>
      <w:r w:rsidR="009D293A">
        <w:rPr>
          <w:rFonts w:ascii="SegoeUI" w:hAnsi="SegoeUI" w:cs="SegoeUI"/>
          <w:sz w:val="20"/>
          <w:szCs w:val="20"/>
        </w:rPr>
        <w:t xml:space="preserve"> </w:t>
      </w:r>
      <w:r>
        <w:rPr>
          <w:rFonts w:ascii="SegoeUI" w:hAnsi="SegoeUI" w:cs="SegoeUI"/>
          <w:sz w:val="20"/>
          <w:szCs w:val="20"/>
        </w:rPr>
        <w:t>Crash rates are calculated based on the number of crashes at an intersection and the</w:t>
      </w:r>
      <w:r w:rsidR="009D293A">
        <w:rPr>
          <w:rFonts w:ascii="SegoeUI" w:hAnsi="SegoeUI" w:cs="SegoeUI"/>
          <w:sz w:val="20"/>
          <w:szCs w:val="20"/>
        </w:rPr>
        <w:t xml:space="preserve"> </w:t>
      </w:r>
      <w:r>
        <w:rPr>
          <w:rFonts w:ascii="SegoeUI" w:hAnsi="SegoeUI" w:cs="SegoeUI"/>
          <w:sz w:val="20"/>
          <w:szCs w:val="20"/>
        </w:rPr>
        <w:t xml:space="preserve">volume of traffic traveling through that intersection on a daily basis. </w:t>
      </w:r>
      <w:proofErr w:type="spellStart"/>
      <w:r>
        <w:rPr>
          <w:rFonts w:ascii="SegoeUI" w:hAnsi="SegoeUI" w:cs="SegoeUI"/>
          <w:sz w:val="20"/>
          <w:szCs w:val="20"/>
        </w:rPr>
        <w:t>MassDOT</w:t>
      </w:r>
      <w:proofErr w:type="spellEnd"/>
    </w:p>
    <w:p w14:paraId="56087FFA"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average crash rates for District 6 (the </w:t>
      </w:r>
      <w:proofErr w:type="spellStart"/>
      <w:r>
        <w:rPr>
          <w:rFonts w:ascii="SegoeUI" w:hAnsi="SegoeUI" w:cs="SegoeUI"/>
          <w:sz w:val="20"/>
          <w:szCs w:val="20"/>
        </w:rPr>
        <w:t>MassDOT</w:t>
      </w:r>
      <w:proofErr w:type="spellEnd"/>
      <w:r>
        <w:rPr>
          <w:rFonts w:ascii="SegoeUI" w:hAnsi="SegoeUI" w:cs="SegoeUI"/>
          <w:sz w:val="20"/>
          <w:szCs w:val="20"/>
        </w:rPr>
        <w:t xml:space="preserve"> district designation for Boston) are</w:t>
      </w:r>
    </w:p>
    <w:p w14:paraId="1F227B14"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0.70 and 0.53 for signalized and unsignalized intersections, respectively, and District</w:t>
      </w:r>
    </w:p>
    <w:p w14:paraId="08D87F44"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4 (the </w:t>
      </w:r>
      <w:proofErr w:type="spellStart"/>
      <w:r>
        <w:rPr>
          <w:rFonts w:ascii="SegoeUI" w:hAnsi="SegoeUI" w:cs="SegoeUI"/>
          <w:sz w:val="20"/>
          <w:szCs w:val="20"/>
        </w:rPr>
        <w:t>MassDOT</w:t>
      </w:r>
      <w:proofErr w:type="spellEnd"/>
      <w:r>
        <w:rPr>
          <w:rFonts w:ascii="SegoeUI" w:hAnsi="SegoeUI" w:cs="SegoeUI"/>
          <w:sz w:val="20"/>
          <w:szCs w:val="20"/>
        </w:rPr>
        <w:t xml:space="preserve"> district designation for Revere and Chelsea) are 0.73 and 0.56 for</w:t>
      </w:r>
    </w:p>
    <w:p w14:paraId="749714BD"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signalized and unsignalized intersections, respectively. In other words, on average,</w:t>
      </w:r>
    </w:p>
    <w:p w14:paraId="630389F9"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0.70 crashes occurred per million vehicles entering signalized intersections, and 0.53</w:t>
      </w:r>
    </w:p>
    <w:p w14:paraId="19D10447"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crashes occurred per million vehicles entering unsignalized intersections throughout</w:t>
      </w:r>
    </w:p>
    <w:p w14:paraId="029DE413" w14:textId="77777777"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District 6. The same methodology applies to District 4 rates. The crash </w:t>
      </w:r>
      <w:proofErr w:type="gramStart"/>
      <w:r>
        <w:rPr>
          <w:rFonts w:ascii="SegoeUI" w:hAnsi="SegoeUI" w:cs="SegoeUI"/>
          <w:sz w:val="20"/>
          <w:szCs w:val="20"/>
        </w:rPr>
        <w:t>rate</w:t>
      </w:r>
      <w:proofErr w:type="gramEnd"/>
    </w:p>
    <w:p w14:paraId="5EC22849" w14:textId="65860192" w:rsidR="00A110EE" w:rsidRDefault="00A110EE" w:rsidP="00A110EE">
      <w:pPr>
        <w:autoSpaceDE w:val="0"/>
        <w:autoSpaceDN w:val="0"/>
        <w:adjustRightInd w:val="0"/>
        <w:spacing w:after="0" w:line="360" w:lineRule="auto"/>
        <w:rPr>
          <w:rFonts w:ascii="SegoeUI" w:hAnsi="SegoeUI" w:cs="SegoeUI"/>
          <w:sz w:val="20"/>
          <w:szCs w:val="20"/>
        </w:rPr>
      </w:pPr>
      <w:r>
        <w:rPr>
          <w:rFonts w:ascii="SegoeUI" w:hAnsi="SegoeUI" w:cs="SegoeUI"/>
          <w:sz w:val="20"/>
          <w:szCs w:val="20"/>
        </w:rPr>
        <w:lastRenderedPageBreak/>
        <w:t>worksheets for the study area intersections are included in Appendix D.</w:t>
      </w:r>
    </w:p>
    <w:p w14:paraId="60F7249D" w14:textId="04448E6E" w:rsidR="00EB40A1" w:rsidRDefault="00EB40A1" w:rsidP="00A110EE">
      <w:pPr>
        <w:autoSpaceDE w:val="0"/>
        <w:autoSpaceDN w:val="0"/>
        <w:adjustRightInd w:val="0"/>
        <w:spacing w:after="0" w:line="360" w:lineRule="auto"/>
        <w:rPr>
          <w:rFonts w:ascii="SegoeUI" w:hAnsi="SegoeUI" w:cs="SegoeUI"/>
          <w:sz w:val="20"/>
          <w:szCs w:val="20"/>
        </w:rPr>
      </w:pPr>
    </w:p>
    <w:p w14:paraId="15535E5D" w14:textId="377338C2" w:rsidR="00EB40A1" w:rsidRDefault="00EB40A1" w:rsidP="00EB40A1">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       </w:t>
      </w:r>
      <w:r>
        <w:rPr>
          <w:rFonts w:ascii="SegoeUI" w:hAnsi="SegoeUI" w:cs="SegoeUI"/>
          <w:sz w:val="20"/>
          <w:szCs w:val="20"/>
        </w:rPr>
        <w:t>Crash rates are calculated based on the number of crashes at an intersection and the</w:t>
      </w:r>
    </w:p>
    <w:p w14:paraId="3A57C42B" w14:textId="77777777" w:rsidR="00EB40A1" w:rsidRDefault="00EB40A1" w:rsidP="00EB40A1">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volume of traffic traveling through that intersection </w:t>
      </w:r>
      <w:proofErr w:type="gramStart"/>
      <w:r>
        <w:rPr>
          <w:rFonts w:ascii="SegoeUI" w:hAnsi="SegoeUI" w:cs="SegoeUI"/>
          <w:sz w:val="20"/>
          <w:szCs w:val="20"/>
        </w:rPr>
        <w:t>on a daily basis</w:t>
      </w:r>
      <w:proofErr w:type="gramEnd"/>
      <w:r>
        <w:rPr>
          <w:rFonts w:ascii="SegoeUI" w:hAnsi="SegoeUI" w:cs="SegoeUI"/>
          <w:sz w:val="20"/>
          <w:szCs w:val="20"/>
        </w:rPr>
        <w:t xml:space="preserve">. </w:t>
      </w:r>
      <w:proofErr w:type="spellStart"/>
      <w:r>
        <w:rPr>
          <w:rFonts w:ascii="SegoeUI" w:hAnsi="SegoeUI" w:cs="SegoeUI"/>
          <w:sz w:val="20"/>
          <w:szCs w:val="20"/>
        </w:rPr>
        <w:t>MassDOT</w:t>
      </w:r>
      <w:proofErr w:type="spellEnd"/>
    </w:p>
    <w:p w14:paraId="540D69CE" w14:textId="77777777" w:rsidR="00EB40A1" w:rsidRDefault="00EB40A1" w:rsidP="00EB40A1">
      <w:pPr>
        <w:autoSpaceDE w:val="0"/>
        <w:autoSpaceDN w:val="0"/>
        <w:adjustRightInd w:val="0"/>
        <w:spacing w:after="0" w:line="360" w:lineRule="auto"/>
        <w:rPr>
          <w:rFonts w:ascii="SegoeUI" w:hAnsi="SegoeUI" w:cs="SegoeUI"/>
          <w:sz w:val="20"/>
          <w:szCs w:val="20"/>
        </w:rPr>
      </w:pPr>
      <w:r>
        <w:rPr>
          <w:rFonts w:ascii="SegoeUI" w:hAnsi="SegoeUI" w:cs="SegoeUI"/>
          <w:sz w:val="20"/>
          <w:szCs w:val="20"/>
        </w:rPr>
        <w:t xml:space="preserve">average crash rates for District 6 (the </w:t>
      </w:r>
      <w:proofErr w:type="spellStart"/>
      <w:r>
        <w:rPr>
          <w:rFonts w:ascii="SegoeUI" w:hAnsi="SegoeUI" w:cs="SegoeUI"/>
          <w:sz w:val="20"/>
          <w:szCs w:val="20"/>
        </w:rPr>
        <w:t>MassDOT</w:t>
      </w:r>
      <w:proofErr w:type="spellEnd"/>
      <w:r>
        <w:rPr>
          <w:rFonts w:ascii="SegoeUI" w:hAnsi="SegoeUI" w:cs="SegoeUI"/>
          <w:sz w:val="20"/>
          <w:szCs w:val="20"/>
        </w:rPr>
        <w:t xml:space="preserve"> district designation for Boston) are</w:t>
      </w:r>
    </w:p>
    <w:p w14:paraId="2019591F" w14:textId="5A552B5D" w:rsidR="00EB40A1" w:rsidRPr="00A110EE" w:rsidRDefault="00EB40A1" w:rsidP="00EB40A1">
      <w:pPr>
        <w:autoSpaceDE w:val="0"/>
        <w:autoSpaceDN w:val="0"/>
        <w:adjustRightInd w:val="0"/>
        <w:spacing w:after="0" w:line="360" w:lineRule="auto"/>
        <w:rPr>
          <w:rFonts w:ascii="SegoeUI" w:hAnsi="SegoeUI" w:cs="SegoeUI"/>
          <w:sz w:val="20"/>
          <w:szCs w:val="20"/>
        </w:rPr>
      </w:pPr>
      <w:r>
        <w:rPr>
          <w:rFonts w:ascii="SegoeUI" w:hAnsi="SegoeUI" w:cs="SegoeUI"/>
          <w:sz w:val="20"/>
          <w:szCs w:val="20"/>
        </w:rPr>
        <w:t>0.70 and 0.53 for signalized and unsignalized intersections</w:t>
      </w:r>
      <w:r>
        <w:rPr>
          <w:rFonts w:ascii="SegoeUI" w:hAnsi="SegoeUI" w:cs="SegoeUI"/>
          <w:sz w:val="20"/>
          <w:szCs w:val="20"/>
        </w:rPr>
        <w:t>.</w:t>
      </w:r>
    </w:p>
    <w:sectPr w:rsidR="00EB40A1" w:rsidRPr="00A11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UI">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EE"/>
    <w:rsid w:val="009D293A"/>
    <w:rsid w:val="00A110EE"/>
    <w:rsid w:val="00EB4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9A096"/>
  <w15:chartTrackingRefBased/>
  <w15:docId w15:val="{0167A0B4-1C1B-4597-B256-10611F3B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2</cp:revision>
  <dcterms:created xsi:type="dcterms:W3CDTF">2020-04-13T20:44:00Z</dcterms:created>
  <dcterms:modified xsi:type="dcterms:W3CDTF">2020-04-13T21:06:00Z</dcterms:modified>
</cp:coreProperties>
</file>